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1A96" w:rsidRDefault="004F30F2">
      <w:pPr>
        <w:pStyle w:val="1"/>
        <w:spacing w:before="240" w:after="240" w:line="276" w:lineRule="auto"/>
        <w:ind w:left="0" w:right="6" w:firstLine="6"/>
        <w:jc w:val="center"/>
      </w:pPr>
      <w:r>
        <w:t>INGLIZ TILI FANIDAN PEDAGOG KADRLARNING KASBIY SERTIFIKATLASH TEST TIZIMI UCHUN TEST SPETSIFIKATSIYASI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firstLine="720"/>
        <w:jc w:val="both"/>
        <w:rPr>
          <w:color w:val="000000"/>
          <w:sz w:val="28"/>
          <w:szCs w:val="28"/>
        </w:rPr>
      </w:pPr>
      <w:bookmarkStart w:id="0" w:name="_heading=h.2yx75bu0l9zs" w:colFirst="0" w:colLast="0"/>
      <w:bookmarkEnd w:id="0"/>
      <w:r>
        <w:rPr>
          <w:color w:val="000000"/>
          <w:sz w:val="28"/>
          <w:szCs w:val="28"/>
        </w:rPr>
        <w:t>Mazkur spetsifikatsiya pedagog kadrlar (stajyor - o‘qituvchi)ni ingliz tili fanidan bilim va ko‘nikma darajalarini aniqlash  malaka sinovining umumiy tamoyillari, me’yoriy asoslari, baholashning qamrovi, baholash mezonlari va malaka sinovini oʻtkazish tart</w:t>
      </w:r>
      <w:r>
        <w:rPr>
          <w:color w:val="000000"/>
          <w:sz w:val="28"/>
          <w:szCs w:val="28"/>
        </w:rPr>
        <w:t>ibiga qoʻyiladigan talablarni aks ettiradi.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firstLine="720"/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I. Umumiy tamoyillar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firstLine="720"/>
        <w:jc w:val="both"/>
        <w:rPr>
          <w:color w:val="000000"/>
          <w:sz w:val="28"/>
          <w:szCs w:val="28"/>
        </w:rPr>
      </w:pPr>
      <w:bookmarkStart w:id="1" w:name="_heading=h.ynv3xecwiud3" w:colFirst="0" w:colLast="0"/>
      <w:bookmarkEnd w:id="1"/>
      <w:r>
        <w:rPr>
          <w:color w:val="000000"/>
          <w:sz w:val="28"/>
          <w:szCs w:val="28"/>
        </w:rPr>
        <w:t xml:space="preserve">Baholash maqsadi – talabgorlarning </w:t>
      </w:r>
      <w:r>
        <w:rPr>
          <w:sz w:val="28"/>
          <w:szCs w:val="28"/>
        </w:rPr>
        <w:t xml:space="preserve">ingliz tili fani </w:t>
      </w:r>
      <w:r>
        <w:rPr>
          <w:color w:val="000000"/>
          <w:sz w:val="28"/>
          <w:szCs w:val="28"/>
        </w:rPr>
        <w:t>o‘qitish metodikasi bo‘yicha nazariy bilimlari, amaliy koʻnikma va kompetensiyalarini</w:t>
      </w:r>
      <w:r>
        <w:rPr>
          <w:b/>
          <w:b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kompleks baholash.  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Ushbu baholash natijalari asosid</w:t>
      </w:r>
      <w:r>
        <w:rPr>
          <w:color w:val="000000"/>
          <w:sz w:val="28"/>
          <w:szCs w:val="28"/>
        </w:rPr>
        <w:t>a pedagog kadrlar egallashi lozim boʻladigan bilim, koʻnikma va kompetensiyalarni aniqlashda qabul qilinadigan qarorlar asosli bo‘lishini ta’minlash maqsadida baholashning barcha bosqichlarida validlik, ishonchlilik, adolat va shaffoflik tamoyillariga rioy</w:t>
      </w:r>
      <w:r>
        <w:rPr>
          <w:color w:val="000000"/>
          <w:sz w:val="28"/>
          <w:szCs w:val="28"/>
        </w:rPr>
        <w:t xml:space="preserve">a qilinishi ta’minlanadi.  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II. Meʼyoriy asoslar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>
        <w:rPr>
          <w:sz w:val="28"/>
          <w:szCs w:val="28"/>
        </w:rPr>
        <w:t>Oʻzbekiston Respublikasi Vazirlar Mahkamasining “Davlat umumiy oʻrta taʼlim tashkilotlari pedagog kadrlarini kasbiy sertifikatlash boʻyicha davlat xizmatlarini koʻrsatishning maʼmuriy reglamentini tasdiql</w:t>
      </w:r>
      <w:r>
        <w:rPr>
          <w:sz w:val="28"/>
          <w:szCs w:val="28"/>
        </w:rPr>
        <w:t>ash toʻgʻrisida” 2024-yil 12-fevraldagi 87-son qarori</w:t>
      </w:r>
      <w:r>
        <w:rPr>
          <w:color w:val="000000"/>
          <w:sz w:val="28"/>
          <w:szCs w:val="28"/>
        </w:rPr>
        <w:t>.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III. Baholash qamrovi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Ingliz tili fani o‘qituvchilari uchun malaka sinovida jami 50 ta test savollari (mutaxassislik fanidan 40 ta, pedagogik mahorat fanidan 10 ta) topshirig‘i taqdim etiladi va test</w:t>
      </w:r>
      <w:r w:rsidR="00453A7A">
        <w:rPr>
          <w:color w:val="000000"/>
          <w:sz w:val="28"/>
          <w:szCs w:val="28"/>
        </w:rPr>
        <w:t xml:space="preserve"> topshiriqlarini bajarish </w:t>
      </w:r>
      <w:r w:rsidR="00453A7A" w:rsidRPr="004F30F2">
        <w:rPr>
          <w:color w:val="000000"/>
          <w:sz w:val="28"/>
          <w:szCs w:val="28"/>
        </w:rPr>
        <w:t xml:space="preserve">uchun </w:t>
      </w:r>
      <w:r w:rsidR="00453A7A" w:rsidRPr="004F30F2">
        <w:rPr>
          <w:sz w:val="28"/>
          <w:szCs w:val="28"/>
        </w:rPr>
        <w:t>9</w:t>
      </w:r>
      <w:r w:rsidRPr="004F30F2">
        <w:rPr>
          <w:sz w:val="28"/>
          <w:szCs w:val="28"/>
        </w:rPr>
        <w:t>0</w:t>
      </w:r>
      <w:r w:rsidRPr="004F30F2">
        <w:rPr>
          <w:color w:val="000000"/>
          <w:sz w:val="28"/>
          <w:szCs w:val="28"/>
        </w:rPr>
        <w:t xml:space="preserve"> daqiqa</w:t>
      </w:r>
      <w:bookmarkStart w:id="2" w:name="_GoBack"/>
      <w:bookmarkEnd w:id="2"/>
      <w:r>
        <w:rPr>
          <w:color w:val="000000"/>
          <w:sz w:val="28"/>
          <w:szCs w:val="28"/>
        </w:rPr>
        <w:t xml:space="preserve"> (mutaxassislik fani hamda pedagogik m</w:t>
      </w:r>
      <w:r>
        <w:rPr>
          <w:color w:val="000000"/>
          <w:sz w:val="28"/>
          <w:szCs w:val="28"/>
        </w:rPr>
        <w:t>ahorat)  vaqt beriladi. Bunda yopiq test topshiriqlaridan (</w:t>
      </w:r>
      <w:r>
        <w:rPr>
          <w:i/>
          <w:iCs/>
          <w:color w:val="000000"/>
          <w:sz w:val="28"/>
          <w:szCs w:val="28"/>
        </w:rPr>
        <w:t>yagona to‘g‘ri javobni talab qiladigan test topshiriqlari, moslashtirishni talab qiladigan test topshiriqlari va ketma-ketlikni talab qiladigan test topshiriqlari</w:t>
      </w:r>
      <w:r>
        <w:rPr>
          <w:color w:val="000000"/>
          <w:sz w:val="28"/>
          <w:szCs w:val="28"/>
        </w:rPr>
        <w:t>) foydalaniladi. Test topshiriqlari</w:t>
      </w:r>
      <w:r>
        <w:rPr>
          <w:color w:val="000000"/>
          <w:sz w:val="28"/>
          <w:szCs w:val="28"/>
        </w:rPr>
        <w:t>ning mazmun sohasi va baholanadigan konstruktlar bo‘yicha taqsimoti quyidagi jadvalda aks etgan:</w:t>
      </w:r>
    </w:p>
    <w:p w:rsidR="00D91A96" w:rsidRDefault="004F30F2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right"/>
        <w:rPr>
          <w:i/>
          <w:iCs/>
          <w:color w:val="000000"/>
          <w:sz w:val="24"/>
          <w:szCs w:val="24"/>
        </w:rPr>
      </w:pPr>
      <w:r>
        <w:rPr>
          <w:i/>
          <w:iCs/>
          <w:color w:val="000000"/>
          <w:sz w:val="24"/>
          <w:szCs w:val="24"/>
        </w:rPr>
        <w:t xml:space="preserve">jadval 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-2"/>
        <w:jc w:val="right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Test topshiriqlarining mazmun sohasi va baholanadigan konstruktlar bo‘yicha taqsimoti</w:t>
      </w:r>
    </w:p>
    <w:tbl>
      <w:tblPr>
        <w:tblStyle w:val="ae"/>
        <w:tblW w:w="9356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4"/>
        <w:gridCol w:w="6236"/>
        <w:gridCol w:w="1276"/>
      </w:tblGrid>
      <w:tr w:rsidR="00D91A96">
        <w:trPr>
          <w:trHeight w:val="607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bookmarkStart w:id="3" w:name="_heading=h.htmjkz3ubphf" w:colFirst="0" w:colLast="0"/>
            <w:bookmarkEnd w:id="3"/>
            <w:r>
              <w:rPr>
                <w:b/>
                <w:bCs/>
                <w:sz w:val="28"/>
                <w:szCs w:val="28"/>
              </w:rPr>
              <w:t>Mazmun sohasi</w:t>
            </w:r>
          </w:p>
        </w:tc>
        <w:tc>
          <w:tcPr>
            <w:tcW w:w="6236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Baholanadigan konstruktlar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Test topshiriqlari soni </w:t>
            </w:r>
          </w:p>
        </w:tc>
      </w:tr>
      <w:tr w:rsidR="00D91A96">
        <w:trPr>
          <w:cantSplit/>
          <w:trHeight w:val="346"/>
        </w:trPr>
        <w:tc>
          <w:tcPr>
            <w:tcW w:w="8080" w:type="dxa"/>
            <w:gridSpan w:val="2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80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lastRenderedPageBreak/>
              <w:t>I. INGLIZ TILI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8"/>
                <w:szCs w:val="28"/>
                <w:highlight w:val="yellow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40 ta</w:t>
            </w:r>
          </w:p>
        </w:tc>
      </w:tr>
      <w:tr w:rsidR="00D91A96">
        <w:trPr>
          <w:cantSplit/>
          <w:trHeight w:val="346"/>
        </w:trPr>
        <w:tc>
          <w:tcPr>
            <w:tcW w:w="9356" w:type="dxa"/>
            <w:gridSpan w:val="3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1. 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Tilning amaliy qo‘llanilishi </w:t>
            </w:r>
            <w:r>
              <w:rPr>
                <w:b/>
                <w:bCs/>
                <w:sz w:val="28"/>
                <w:szCs w:val="28"/>
              </w:rPr>
              <w:t>(1 - 35 savollar)</w:t>
            </w:r>
          </w:p>
        </w:tc>
      </w:tr>
      <w:tr w:rsidR="00D91A96">
        <w:trPr>
          <w:cantSplit/>
          <w:trHeight w:val="155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 xml:space="preserve">Fonetika 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Minimal juftliklar (minimal pairs) orqali ma’no farqlovchi tovushlarni kontekstga qarab ajratish (masalan: ship/sheep, bad/bed);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Ikki va undan ortiq bo‘g‘inli so‘zlarda asosiy urg‘u (primary stress) tushadigan bo‘g‘inni aniqlash;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Gapning mazmuniga qarab mantiqiy urg‘u (sentence stress) qaysi so‘zga tushishini belgilash;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Savol turlari yoki his-tuyg‘u ifodasiga ko‘ra ohangning ko‘tari</w:t>
            </w:r>
            <w:r>
              <w:rPr>
                <w:color w:val="000000"/>
                <w:sz w:val="28"/>
                <w:szCs w:val="28"/>
              </w:rPr>
              <w:t>lishi yoki pasayishini (rising/falling intonation) to‘g‘ri ko‘rsatilgan variantni tanlash.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</w:tr>
      <w:tr w:rsidR="00D91A96">
        <w:trPr>
          <w:cantSplit/>
          <w:trHeight w:val="2172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Grammatika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 xml:space="preserve">grammatik strukturaning nomini va qo‘llanilish o‘rinlarini </w:t>
            </w:r>
            <w:r>
              <w:rPr>
                <w:sz w:val="28"/>
                <w:szCs w:val="28"/>
              </w:rPr>
              <w:t>tanlash</w:t>
            </w:r>
            <w:r>
              <w:rPr>
                <w:color w:val="000000"/>
                <w:sz w:val="28"/>
                <w:szCs w:val="28"/>
              </w:rPr>
              <w:t>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berilgan kontekstga mos grammatik birlik tanlash;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berilgan nutq namunasida grammatik xatoni topish va tushuntirish;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berilgan gap yoki jumlani grammatik transformatsiya qilish (o‘zgartirish)</w:t>
            </w:r>
            <w:r>
              <w:rPr>
                <w:sz w:val="28"/>
                <w:szCs w:val="28"/>
              </w:rPr>
              <w:t>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grammatik xato sababini berilgan variantlar ichidan tanlash;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berilgan gapning grammatik jihatdan to‘g‘ri o‘zg</w:t>
            </w:r>
            <w:r>
              <w:rPr>
                <w:sz w:val="28"/>
                <w:szCs w:val="28"/>
              </w:rPr>
              <w:t>artirilgan variantini aniqlash;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- o‘xshash grammatik shakllardan ma’noga eng mosini tanlash.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</w:t>
            </w:r>
            <w:r>
              <w:rPr>
                <w:sz w:val="28"/>
                <w:szCs w:val="28"/>
              </w:rPr>
              <w:t>3</w:t>
            </w:r>
          </w:p>
        </w:tc>
      </w:tr>
      <w:tr w:rsidR="00D91A96">
        <w:trPr>
          <w:cantSplit/>
          <w:trHeight w:val="2172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Leksika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berilgan kontekstga mos leksik birlikni tanlash;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berilgan leksik birlikning kontekstdagi ma’nosini aniqlash;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berilgan leksik birlikka kontekstga mos sinonimni tanlash;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so‘z yasalishi qoidalari asosida berilgan konstekstga mos so‘z yasash;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ma’nosi yaqin bo‘lgan leksik birliklar orasidan kontekstga eng mosini tanlash (near-synonyms: say / tell / speak / talk)</w:t>
            </w:r>
            <w:r>
              <w:rPr>
                <w:sz w:val="28"/>
                <w:szCs w:val="28"/>
              </w:rPr>
              <w:t>.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D91A96">
        <w:trPr>
          <w:cantSplit/>
          <w:trHeight w:val="660"/>
        </w:trPr>
        <w:tc>
          <w:tcPr>
            <w:tcW w:w="1844" w:type="dxa"/>
            <w:vAlign w:val="center"/>
          </w:tcPr>
          <w:p w:rsidR="00D91A96" w:rsidRDefault="004F30F2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Pragmatika 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berilgan vaziyatga mos og‘zaki va (yoki) yozma nutq namunasini tanlash;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 xml:space="preserve">berilgan og‘zaki va (yoki) yozma nutq namunasining kontekstda nazarda tutilgan ma’nosini anglash </w:t>
            </w:r>
            <w:r>
              <w:rPr>
                <w:sz w:val="28"/>
                <w:szCs w:val="28"/>
              </w:rPr>
              <w:t>(literal meaning (to‘liq ma’no), irrelevant interpretation, opposite meaning, exaggerated meaning)</w:t>
            </w:r>
            <w:r>
              <w:rPr>
                <w:color w:val="000000"/>
                <w:sz w:val="28"/>
                <w:szCs w:val="28"/>
              </w:rPr>
              <w:t>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berilgan og‘zaki va (yoki) yozma nutq namunasining ijtimoiy va kommunikativ jihatdan kontekstga mosligiga baho berish.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diskurs (suhbat) asosida mos javo</w:t>
            </w:r>
            <w:r>
              <w:rPr>
                <w:sz w:val="28"/>
                <w:szCs w:val="28"/>
              </w:rPr>
              <w:t xml:space="preserve">bni tanlash (random statement, off-topic comment, irrelevant fact, confusing remark); 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berilgan kontekstga mos muloqot strategiyasini aniqlash (making suggestion instead of request, giving unrelated information, expressing opinion instead of asking, igno</w:t>
            </w:r>
            <w:r>
              <w:rPr>
                <w:sz w:val="28"/>
                <w:szCs w:val="28"/>
              </w:rPr>
              <w:t xml:space="preserve">ring speaker’s intent); 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xohish yoki niyatni farqlash (giving direct order, expressing anger, asking irrelevant question, making a statement unrelated to intent).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</w:t>
            </w:r>
          </w:p>
        </w:tc>
      </w:tr>
      <w:tr w:rsidR="00D91A96">
        <w:trPr>
          <w:cantSplit/>
          <w:trHeight w:val="194"/>
        </w:trPr>
        <w:tc>
          <w:tcPr>
            <w:tcW w:w="9356" w:type="dxa"/>
            <w:gridSpan w:val="3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  <w:r>
              <w:rPr>
                <w:b/>
                <w:bCs/>
                <w:color w:val="000000"/>
                <w:sz w:val="28"/>
                <w:szCs w:val="28"/>
              </w:rPr>
              <w:t xml:space="preserve">. </w:t>
            </w:r>
            <w:r>
              <w:rPr>
                <w:b/>
                <w:bCs/>
                <w:sz w:val="28"/>
                <w:szCs w:val="28"/>
              </w:rPr>
              <w:t>Oʻqib tushunish (36 - 40 savollar)</w:t>
            </w:r>
          </w:p>
        </w:tc>
      </w:tr>
      <w:tr w:rsidR="00D91A96">
        <w:trPr>
          <w:cantSplit/>
          <w:trHeight w:val="846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O‘qib tushunish 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matnning asosiy g‘oyasi, maqsadi va auditoriyasini, muallif pozitsiyasini aniqlash;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matnda ochiq aytilmagan ma’lumotlar, fikrlar, g‘oyalarni anglash;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matndagi fakt va fikrni farqlash;</w:t>
            </w:r>
          </w:p>
          <w:p w:rsidR="00D91A96" w:rsidRDefault="004F30F2">
            <w:pP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>
              <w:rPr>
                <w:color w:val="000000"/>
                <w:sz w:val="28"/>
                <w:szCs w:val="28"/>
              </w:rPr>
              <w:t>matnda tasvirlangan voqealar ketma-ketligini tushunish;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matn qis</w:t>
            </w:r>
            <w:r>
              <w:rPr>
                <w:sz w:val="28"/>
                <w:szCs w:val="28"/>
              </w:rPr>
              <w:t>mlari o‘rtasidagi mantiqiy va diskursiv bog‘lanishlarni tushunish (masalan, sabab-oqibat, qarama-qarshilik, izohlash, ketma-ketlik).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</w:tr>
      <w:tr w:rsidR="00D91A96">
        <w:trPr>
          <w:cantSplit/>
          <w:trHeight w:val="239"/>
        </w:trPr>
        <w:tc>
          <w:tcPr>
            <w:tcW w:w="8080" w:type="dxa"/>
            <w:gridSpan w:val="2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II. PEDAGOGIK MAHORAT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10 ta</w:t>
            </w:r>
          </w:p>
        </w:tc>
      </w:tr>
      <w:tr w:rsidR="00D91A96">
        <w:trPr>
          <w:cantSplit/>
          <w:trHeight w:val="146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Umumiy pedagogika va pedagogik mahorat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darsni rejalashtirish va sinfni boshqarishdagi umumiy yondashuvlarni bilish;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darsni rejalashtirish va sinfni boshqarish yondashuvlarini konkret vaziyatga (ssenariyga) qo‘llay olish;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darsni rejalashtirish yoki sinfni boshqarish bo‘yicha qarorning beri</w:t>
            </w:r>
            <w:r>
              <w:rPr>
                <w:sz w:val="28"/>
                <w:szCs w:val="28"/>
              </w:rPr>
              <w:t>lgan vaziyatda mosligiga baho berish.</w:t>
            </w:r>
          </w:p>
        </w:tc>
        <w:tc>
          <w:tcPr>
            <w:tcW w:w="1276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5</w:t>
            </w:r>
          </w:p>
        </w:tc>
      </w:tr>
      <w:tr w:rsidR="00D91A96">
        <w:trPr>
          <w:cantSplit/>
          <w:trHeight w:val="335"/>
        </w:trPr>
        <w:tc>
          <w:tcPr>
            <w:tcW w:w="1844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>Ingliz tili o‘qitish metodikasi</w:t>
            </w:r>
          </w:p>
        </w:tc>
        <w:tc>
          <w:tcPr>
            <w:tcW w:w="6236" w:type="dxa"/>
          </w:tcPr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ingliz tili o‘qitish metodikasiga oid yondashuvlar, nazariy ramkalar </w:t>
            </w:r>
            <w:r>
              <w:rPr>
                <w:i/>
                <w:iCs/>
                <w:sz w:val="28"/>
                <w:szCs w:val="28"/>
              </w:rPr>
              <w:t xml:space="preserve">(framework) </w:t>
            </w:r>
            <w:r>
              <w:rPr>
                <w:sz w:val="28"/>
                <w:szCs w:val="28"/>
              </w:rPr>
              <w:t>va metodlarni farqlay olish;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ingliz tili o‘qitish metodikasiga oid yondashuvlar, nazariy ramkalar va metodlarga oid asosiy terminologiyani bilish;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berilgan yondashuv doirasida darsga oid qabul qilingan qarorlarga baho berish;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berilgan yondashuv doirasida vaziyatga (ssenariyga) m</w:t>
            </w:r>
            <w:r>
              <w:rPr>
                <w:sz w:val="28"/>
                <w:szCs w:val="28"/>
              </w:rPr>
              <w:t>os harakat yoki faoliyat turini tanlash;</w:t>
            </w:r>
          </w:p>
          <w:p w:rsidR="00D91A96" w:rsidRDefault="004F30F2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qamrab olinadigan yondashuvlar va metodikalar: Structural Approach, TBLT, PPP, Lexical Approach, Functional Approach, Communicative Approaches, Grammar-Translation, Guided Discovery, Content-Based Learning, CLIL.</w:t>
            </w:r>
          </w:p>
        </w:tc>
        <w:tc>
          <w:tcPr>
            <w:tcW w:w="1276" w:type="dxa"/>
            <w:vAlign w:val="center"/>
          </w:tcPr>
          <w:p w:rsidR="00D91A96" w:rsidRDefault="00D91A9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color w:val="000000"/>
                <w:sz w:val="28"/>
                <w:szCs w:val="28"/>
              </w:rPr>
            </w:pPr>
          </w:p>
        </w:tc>
      </w:tr>
    </w:tbl>
    <w:p w:rsidR="00D91A96" w:rsidRDefault="004F30F2">
      <w:pPr>
        <w:spacing w:after="120" w:line="276" w:lineRule="auto"/>
        <w:ind w:firstLine="708"/>
        <w:jc w:val="both"/>
        <w:rPr>
          <w:sz w:val="32"/>
          <w:szCs w:val="32"/>
        </w:rPr>
      </w:pPr>
      <w:r>
        <w:rPr>
          <w:sz w:val="32"/>
          <w:szCs w:val="32"/>
        </w:rPr>
        <w:t>Test topshiriqlarining kognitiv ko‘nikmalar bo‘yicha taqsimoti quyidagi jadvalda aks etgan:</w:t>
      </w:r>
    </w:p>
    <w:p w:rsidR="00D91A96" w:rsidRDefault="004F30F2">
      <w:pPr>
        <w:widowControl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left="0" w:firstLine="0"/>
        <w:jc w:val="right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jadval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line="276" w:lineRule="auto"/>
        <w:ind w:right="120"/>
        <w:jc w:val="right"/>
        <w:rPr>
          <w:i/>
          <w:iCs/>
          <w:color w:val="000000"/>
          <w:sz w:val="28"/>
          <w:szCs w:val="28"/>
        </w:rPr>
      </w:pPr>
      <w:r>
        <w:rPr>
          <w:i/>
          <w:iCs/>
          <w:color w:val="000000"/>
          <w:sz w:val="28"/>
          <w:szCs w:val="28"/>
        </w:rPr>
        <w:t>Kognitiv ko‘nikmalar taqsimoti</w:t>
      </w:r>
    </w:p>
    <w:tbl>
      <w:tblPr>
        <w:tblStyle w:val="af"/>
        <w:tblW w:w="921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09"/>
        <w:gridCol w:w="1985"/>
        <w:gridCol w:w="5103"/>
        <w:gridCol w:w="1417"/>
      </w:tblGrid>
      <w:tr w:rsidR="00D91A96">
        <w:trPr>
          <w:trHeight w:val="278"/>
        </w:trPr>
        <w:tc>
          <w:tcPr>
            <w:tcW w:w="709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T/r</w:t>
            </w:r>
          </w:p>
        </w:tc>
        <w:tc>
          <w:tcPr>
            <w:tcW w:w="1985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Kognitiv daraja </w:t>
            </w:r>
          </w:p>
        </w:tc>
        <w:tc>
          <w:tcPr>
            <w:tcW w:w="5103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Izohi </w:t>
            </w:r>
          </w:p>
        </w:tc>
        <w:tc>
          <w:tcPr>
            <w:tcW w:w="1417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color w:val="1F3864"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Testdagi ulushi </w:t>
            </w:r>
          </w:p>
        </w:tc>
      </w:tr>
      <w:tr w:rsidR="00D91A96">
        <w:trPr>
          <w:trHeight w:val="851"/>
        </w:trPr>
        <w:tc>
          <w:tcPr>
            <w:tcW w:w="709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1985" w:type="dxa"/>
            <w:vAlign w:val="center"/>
          </w:tcPr>
          <w:p w:rsidR="00D91A96" w:rsidRDefault="004F30F2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Bilish va tushunish</w:t>
            </w:r>
          </w:p>
        </w:tc>
        <w:tc>
          <w:tcPr>
            <w:tcW w:w="5103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Fanga doir nazariy maʼlumotlar, atamalar, qoidalar, tushunchalarni eslab qolish, ularning mazmuni, maqsadi va qo‘llanilishini tushunish</w:t>
            </w:r>
          </w:p>
        </w:tc>
        <w:tc>
          <w:tcPr>
            <w:tcW w:w="1417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D91A96">
        <w:trPr>
          <w:trHeight w:val="586"/>
        </w:trPr>
        <w:tc>
          <w:tcPr>
            <w:tcW w:w="709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1985" w:type="dxa"/>
            <w:vAlign w:val="center"/>
          </w:tcPr>
          <w:p w:rsidR="00D91A96" w:rsidRDefault="004F30F2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Qoʻllash </w:t>
            </w:r>
          </w:p>
        </w:tc>
        <w:tc>
          <w:tcPr>
            <w:tcW w:w="5103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Bilim, tushuncha va protseduralarni yangi (notanish) kontekstlarda qoʻllay olish</w:t>
            </w:r>
          </w:p>
        </w:tc>
        <w:tc>
          <w:tcPr>
            <w:tcW w:w="1417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35</w:t>
            </w:r>
          </w:p>
        </w:tc>
      </w:tr>
      <w:tr w:rsidR="00D91A96">
        <w:trPr>
          <w:trHeight w:val="585"/>
        </w:trPr>
        <w:tc>
          <w:tcPr>
            <w:tcW w:w="709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1985" w:type="dxa"/>
            <w:vAlign w:val="center"/>
          </w:tcPr>
          <w:p w:rsidR="00D91A96" w:rsidRDefault="004F30F2">
            <w:pPr>
              <w:spacing w:line="276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Mulohaza qilish</w:t>
            </w:r>
          </w:p>
        </w:tc>
        <w:tc>
          <w:tcPr>
            <w:tcW w:w="5103" w:type="dxa"/>
            <w:vAlign w:val="center"/>
          </w:tcPr>
          <w:p w:rsidR="00D91A96" w:rsidRDefault="004F30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Faktlar, dalillar, fikrlarni taqqoslash, tahlil qilish, taxmin qilish va xulosa(lar) chiqarish</w:t>
            </w:r>
          </w:p>
        </w:tc>
        <w:tc>
          <w:tcPr>
            <w:tcW w:w="1417" w:type="dxa"/>
            <w:vAlign w:val="center"/>
          </w:tcPr>
          <w:p w:rsidR="00D91A96" w:rsidRDefault="004F30F2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</w:tbl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IV. Baholash mezoni</w:t>
      </w:r>
    </w:p>
    <w:p w:rsidR="00D91A96" w:rsidRDefault="004F30F2">
      <w:pPr>
        <w:spacing w:after="120" w:line="276" w:lineRule="auto"/>
        <w:ind w:firstLine="567"/>
        <w:jc w:val="center"/>
        <w:rPr>
          <w:sz w:val="28"/>
          <w:szCs w:val="28"/>
        </w:rPr>
      </w:pPr>
      <w:r>
        <w:rPr>
          <w:sz w:val="28"/>
          <w:szCs w:val="28"/>
        </w:rPr>
        <w:t>Test topshiruvchining natijasini (raw score) hisoblash uchun har bir toʻgʻri javobga 2 ball, notoʻgʻri javobga 0 ball beriladi. Maksimal 100 ballni tashkil qiladi.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firstLine="720"/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V. Imtihon tartibi</w:t>
      </w:r>
    </w:p>
    <w:p w:rsidR="00D91A96" w:rsidRDefault="004F30F2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Taqiqlangan vositalar:</w:t>
      </w:r>
      <w:r>
        <w:rPr>
          <w:sz w:val="28"/>
          <w:szCs w:val="28"/>
        </w:rPr>
        <w:t xml:space="preserve"> imtihon vaqtida mobil telefon, aqlli soat, planshe</w:t>
      </w:r>
      <w:r>
        <w:rPr>
          <w:sz w:val="28"/>
          <w:szCs w:val="28"/>
        </w:rPr>
        <w:t xml:space="preserve">t yoki elektron eslatmalardan foydalanish qatʼiyan man etiladi. </w:t>
      </w:r>
    </w:p>
    <w:p w:rsidR="00D91A96" w:rsidRDefault="004F30F2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>Axloq va intizom:</w:t>
      </w:r>
      <w:r>
        <w:rPr>
          <w:sz w:val="28"/>
          <w:szCs w:val="28"/>
        </w:rPr>
        <w:t xml:space="preserve"> nusxa koʻchirish, yordam soʻrash yoki yordam berish, imtihon davomida gaplashish, ruxsatsiz chiqish kabi holatlar taqiqlanadi. </w:t>
      </w:r>
    </w:p>
    <w:p w:rsidR="00D91A96" w:rsidRDefault="004F30F2">
      <w:pPr>
        <w:spacing w:line="276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Nazoratchi qoidabuzarlikni aniqlaganda, uni r</w:t>
      </w:r>
      <w:r>
        <w:rPr>
          <w:sz w:val="28"/>
          <w:szCs w:val="28"/>
        </w:rPr>
        <w:t>asmiylashtirib, tinglovchini testdan chetlashtiradi va natijasi bekor qilinadi.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VII. Tavsiya etiladigan asosiy adabiyotlar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Reed, S., &amp; Bentley, K. (2021). </w:t>
      </w:r>
      <w:r>
        <w:rPr>
          <w:i/>
          <w:iCs/>
          <w:color w:val="000000"/>
          <w:sz w:val="28"/>
          <w:szCs w:val="28"/>
        </w:rPr>
        <w:t>Guess What? Student’s Book 5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Reed, S., &amp; Bentley, K. (2021). </w:t>
      </w:r>
      <w:r>
        <w:rPr>
          <w:i/>
          <w:iCs/>
          <w:color w:val="000000"/>
          <w:sz w:val="28"/>
          <w:szCs w:val="28"/>
        </w:rPr>
        <w:t>Guess What? Student’s Book 6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Kosta, J., &amp; Williams, M. (2021). </w:t>
      </w:r>
      <w:r>
        <w:rPr>
          <w:i/>
          <w:iCs/>
          <w:color w:val="000000"/>
          <w:sz w:val="28"/>
          <w:szCs w:val="28"/>
        </w:rPr>
        <w:t>Prepare! Grade 7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Kosta, J., &amp; Williams, M. (2021). </w:t>
      </w:r>
      <w:r>
        <w:rPr>
          <w:i/>
          <w:iCs/>
          <w:color w:val="000000"/>
          <w:sz w:val="28"/>
          <w:szCs w:val="28"/>
        </w:rPr>
        <w:t>Prepare! Grade 8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Kosta, J., &amp; Williams, M. (2021). </w:t>
      </w:r>
      <w:r>
        <w:rPr>
          <w:i/>
          <w:iCs/>
          <w:color w:val="000000"/>
          <w:sz w:val="28"/>
          <w:szCs w:val="28"/>
        </w:rPr>
        <w:t>P</w:t>
      </w:r>
      <w:r>
        <w:rPr>
          <w:i/>
          <w:iCs/>
          <w:color w:val="000000"/>
          <w:sz w:val="28"/>
          <w:szCs w:val="28"/>
        </w:rPr>
        <w:t>repare! Grade 9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Styring, J., &amp; Tims, N. (2021). </w:t>
      </w:r>
      <w:r>
        <w:rPr>
          <w:i/>
          <w:iCs/>
          <w:color w:val="000000"/>
          <w:sz w:val="28"/>
          <w:szCs w:val="28"/>
        </w:rPr>
        <w:t>Prepare! Grade 10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Joseph, N., &amp; Chilton, H. (2021). </w:t>
      </w:r>
      <w:r>
        <w:rPr>
          <w:i/>
          <w:iCs/>
          <w:color w:val="000000"/>
          <w:sz w:val="28"/>
          <w:szCs w:val="28"/>
        </w:rPr>
        <w:t>Prepare! Grade 11</w:t>
      </w:r>
      <w:r>
        <w:rPr>
          <w:color w:val="000000"/>
          <w:sz w:val="28"/>
          <w:szCs w:val="28"/>
        </w:rPr>
        <w:t xml:space="preserve">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Swan, M. (2017). </w:t>
      </w:r>
      <w:r>
        <w:rPr>
          <w:i/>
          <w:iCs/>
          <w:color w:val="000000"/>
          <w:sz w:val="28"/>
          <w:szCs w:val="28"/>
        </w:rPr>
        <w:t>Practical English Usage</w:t>
      </w:r>
      <w:r>
        <w:rPr>
          <w:color w:val="000000"/>
          <w:sz w:val="28"/>
          <w:szCs w:val="28"/>
        </w:rPr>
        <w:t xml:space="preserve">. Oxford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Hewings, M. (2023). </w:t>
      </w:r>
      <w:r>
        <w:rPr>
          <w:i/>
          <w:iCs/>
          <w:color w:val="000000"/>
          <w:sz w:val="28"/>
          <w:szCs w:val="28"/>
        </w:rPr>
        <w:t xml:space="preserve">Advanced Grammar in Use </w:t>
      </w:r>
      <w:r>
        <w:rPr>
          <w:color w:val="000000"/>
          <w:sz w:val="28"/>
          <w:szCs w:val="28"/>
        </w:rPr>
        <w:t xml:space="preserve">(4th ed.).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McCarthy, M., &amp; O’Dell, F. (2017). </w:t>
      </w:r>
      <w:r>
        <w:rPr>
          <w:i/>
          <w:iCs/>
          <w:color w:val="000000"/>
          <w:sz w:val="28"/>
          <w:szCs w:val="28"/>
        </w:rPr>
        <w:t xml:space="preserve">English Vocabulary in Use: Advanced: Vocabulary Reference and Practice </w:t>
      </w:r>
      <w:r>
        <w:rPr>
          <w:color w:val="000000"/>
          <w:sz w:val="28"/>
          <w:szCs w:val="28"/>
        </w:rPr>
        <w:t>(3rd ed.). Cambridge University Press.</w:t>
      </w:r>
      <w:r>
        <w:rPr>
          <w:color w:val="000000"/>
          <w:sz w:val="28"/>
          <w:szCs w:val="28"/>
        </w:rPr>
        <w:t xml:space="preserve">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O‘Dell, F., &amp; McCarthy, M. (2017). </w:t>
      </w:r>
      <w:r>
        <w:rPr>
          <w:i/>
          <w:iCs/>
          <w:color w:val="000000"/>
          <w:sz w:val="28"/>
          <w:szCs w:val="28"/>
        </w:rPr>
        <w:t xml:space="preserve">English Collocations in Use: Advanced </w:t>
      </w:r>
      <w:r>
        <w:rPr>
          <w:color w:val="000000"/>
          <w:sz w:val="28"/>
          <w:szCs w:val="28"/>
        </w:rPr>
        <w:t xml:space="preserve">(2nd ed.). Cambridge University Press.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Clark, B. (2021). </w:t>
      </w:r>
      <w:r>
        <w:rPr>
          <w:i/>
          <w:iCs/>
          <w:color w:val="000000"/>
          <w:sz w:val="28"/>
          <w:szCs w:val="28"/>
        </w:rPr>
        <w:t>Pragmatics: The basics</w:t>
      </w:r>
      <w:r>
        <w:rPr>
          <w:color w:val="000000"/>
          <w:sz w:val="28"/>
          <w:szCs w:val="28"/>
        </w:rPr>
        <w:t xml:space="preserve">. Routledge.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Peters, P. The Cambridge Guide to English Usage. Cambridge UP, 2004.</w:t>
      </w: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firstLine="720"/>
        <w:jc w:val="both"/>
        <w:rPr>
          <w:b/>
          <w:bCs/>
          <w:i/>
          <w:iCs/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 xml:space="preserve">Pedagogika, metodika </w:t>
      </w:r>
    </w:p>
    <w:p w:rsidR="00D91A96" w:rsidRDefault="004F30F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firstLine="284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Spratt, M., Pulverness, A., &amp; Williams, M. (2011). </w:t>
      </w:r>
      <w:r>
        <w:rPr>
          <w:i/>
          <w:iCs/>
          <w:color w:val="000000"/>
          <w:sz w:val="28"/>
          <w:szCs w:val="28"/>
        </w:rPr>
        <w:t xml:space="preserve">The TKT Course: Modules 1, 2 and 3 </w:t>
      </w:r>
      <w:r>
        <w:rPr>
          <w:color w:val="000000"/>
          <w:sz w:val="28"/>
          <w:szCs w:val="28"/>
        </w:rPr>
        <w:t xml:space="preserve">(2nd ed.). Cambridge University Press. </w:t>
      </w:r>
    </w:p>
    <w:p w:rsidR="00D91A96" w:rsidRDefault="00D91A96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567"/>
        <w:jc w:val="both"/>
        <w:rPr>
          <w:color w:val="000000"/>
          <w:sz w:val="28"/>
          <w:szCs w:val="28"/>
        </w:rPr>
      </w:pPr>
    </w:p>
    <w:p w:rsidR="00D91A96" w:rsidRDefault="004F30F2">
      <w:pPr>
        <w:pBdr>
          <w:top w:val="nil"/>
          <w:left w:val="nil"/>
          <w:bottom w:val="nil"/>
          <w:right w:val="nil"/>
          <w:between w:val="nil"/>
        </w:pBdr>
        <w:spacing w:after="120"/>
        <w:ind w:firstLine="567"/>
        <w:jc w:val="both"/>
        <w:rPr>
          <w:sz w:val="30"/>
          <w:szCs w:val="30"/>
        </w:rPr>
      </w:pPr>
      <w:r>
        <w:rPr>
          <w:b/>
          <w:bCs/>
          <w:i/>
          <w:iCs/>
          <w:sz w:val="26"/>
          <w:szCs w:val="26"/>
          <w:u w:val="single"/>
        </w:rPr>
        <w:t>Eslatma:</w:t>
      </w:r>
      <w:r>
        <w:rPr>
          <w:b/>
          <w:bCs/>
          <w:sz w:val="30"/>
          <w:szCs w:val="30"/>
        </w:rPr>
        <w:t xml:space="preserve"> </w:t>
      </w:r>
      <w:r>
        <w:rPr>
          <w:i/>
          <w:iCs/>
          <w:sz w:val="26"/>
          <w:szCs w:val="26"/>
        </w:rPr>
        <w:t>test topshiriqlari mazmuni tavsiya etilgan adabiyotlarda aks etgan mazmun, tamoyil va yondashuvlar bilan moslashtiriladi, ammo test topshiriqlari to‘g‘ridan to‘g‘ri manbalardan olinmaydi. Malaka sinoviga tayyorgarlik ko‘rish jarayonida tavsiya etilgan adab</w:t>
      </w:r>
      <w:r>
        <w:rPr>
          <w:i/>
          <w:iCs/>
          <w:sz w:val="26"/>
          <w:szCs w:val="26"/>
        </w:rPr>
        <w:t>iyotlar eslab qolish manbai sifatida xizmat qilishdan ko‘ra, umumiy kasbiy tayyorgarlikni mustahkamlashga qaratilgan.</w:t>
      </w:r>
    </w:p>
    <w:sectPr w:rsidR="00D91A96">
      <w:pgSz w:w="11910" w:h="16840"/>
      <w:pgMar w:top="1134" w:right="850" w:bottom="1134" w:left="1701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" w:fontKey="{16913985-9911-4370-BDEB-7EEB4252DEA6}"/>
    <w:embedBold r:id="rId2" w:fontKey="{F5EDE8E8-A1EE-4DDE-A6AA-560DA3904661}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3" w:fontKey="{48CAFFE0-BCA2-4ECB-9223-EBB7275B72D2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6984A2A1-0C4D-4B46-B90E-2C3C5A95481C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5" w:fontKey="{A3116C72-F48F-430D-BF9C-52291018E9DC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63B115E"/>
    <w:multiLevelType w:val="multilevel"/>
    <w:tmpl w:val="CBBA244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12543E8"/>
    <w:multiLevelType w:val="multilevel"/>
    <w:tmpl w:val="C62038EE"/>
    <w:lvl w:ilvl="0">
      <w:start w:val="1"/>
      <w:numFmt w:val="decimal"/>
      <w:lvlText w:val="%1-"/>
      <w:lvlJc w:val="left"/>
      <w:pPr>
        <w:ind w:left="8724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1A96"/>
    <w:rsid w:val="00453A7A"/>
    <w:rsid w:val="004F30F2"/>
    <w:rsid w:val="00D91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72E774"/>
  <w15:docId w15:val="{A96915BA-3D38-477D-A5F6-701450654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id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ind w:left="122"/>
      <w:outlineLvl w:val="0"/>
    </w:pPr>
    <w:rPr>
      <w:b/>
      <w:bCs/>
      <w:sz w:val="28"/>
      <w:szCs w:val="2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widowControl/>
      <w:spacing w:after="80"/>
    </w:pPr>
    <w:rPr>
      <w:rFonts w:ascii="Calibri" w:eastAsia="Calibri" w:hAnsi="Calibri" w:cs="Calibri"/>
      <w:sz w:val="56"/>
      <w:szCs w:val="56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ody Text"/>
    <w:uiPriority w:val="1"/>
    <w:qFormat/>
    <w:pPr>
      <w:ind w:left="405" w:hanging="284"/>
    </w:pPr>
    <w:rPr>
      <w:sz w:val="28"/>
      <w:szCs w:val="28"/>
    </w:rPr>
  </w:style>
  <w:style w:type="paragraph" w:styleId="a5">
    <w:name w:val="List Paragraph"/>
    <w:uiPriority w:val="34"/>
    <w:qFormat/>
    <w:pPr>
      <w:ind w:left="405" w:hanging="284"/>
    </w:pPr>
  </w:style>
  <w:style w:type="paragraph" w:customStyle="1" w:styleId="TableParagraph">
    <w:name w:val="Table Paragraph"/>
    <w:uiPriority w:val="1"/>
    <w:qFormat/>
  </w:style>
  <w:style w:type="paragraph" w:styleId="a6">
    <w:name w:val="header"/>
    <w:link w:val="a7"/>
    <w:uiPriority w:val="99"/>
    <w:unhideWhenUsed/>
    <w:rsid w:val="00FF70A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F70A6"/>
    <w:rPr>
      <w:rFonts w:ascii="Times New Roman" w:eastAsia="Times New Roman" w:hAnsi="Times New Roman" w:cs="Times New Roman"/>
      <w:lang w:val="id"/>
    </w:rPr>
  </w:style>
  <w:style w:type="paragraph" w:styleId="a8">
    <w:name w:val="footer"/>
    <w:link w:val="a9"/>
    <w:uiPriority w:val="99"/>
    <w:unhideWhenUsed/>
    <w:rsid w:val="00FF70A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F70A6"/>
    <w:rPr>
      <w:rFonts w:ascii="Times New Roman" w:eastAsia="Times New Roman" w:hAnsi="Times New Roman" w:cs="Times New Roman"/>
      <w:lang w:val="id"/>
    </w:rPr>
  </w:style>
  <w:style w:type="paragraph" w:styleId="aa">
    <w:name w:val="Balloon Text"/>
    <w:link w:val="ab"/>
    <w:uiPriority w:val="99"/>
    <w:semiHidden/>
    <w:unhideWhenUsed/>
    <w:rsid w:val="006B347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B3477"/>
    <w:rPr>
      <w:rFonts w:ascii="Tahoma" w:eastAsia="Times New Roman" w:hAnsi="Tahoma" w:cs="Tahoma"/>
      <w:sz w:val="16"/>
      <w:szCs w:val="16"/>
      <w:lang w:val="id"/>
    </w:rPr>
  </w:style>
  <w:style w:type="character" w:customStyle="1" w:styleId="30">
    <w:name w:val="Заголовок 3 Знак"/>
    <w:basedOn w:val="a0"/>
    <w:uiPriority w:val="9"/>
    <w:semiHidden/>
    <w:rsid w:val="00E818AC"/>
    <w:rPr>
      <w:rFonts w:asciiTheme="majorHAnsi" w:eastAsiaTheme="majorEastAsia" w:hAnsiTheme="majorHAnsi" w:cstheme="majorBidi"/>
      <w:b/>
      <w:bCs/>
      <w:color w:val="4F81BD" w:themeColor="accent1"/>
      <w:lang w:val="id"/>
    </w:rPr>
  </w:style>
  <w:style w:type="character" w:customStyle="1" w:styleId="10">
    <w:name w:val="Заголовок 1 Знак"/>
    <w:basedOn w:val="a0"/>
    <w:uiPriority w:val="9"/>
    <w:rsid w:val="00216C32"/>
    <w:rPr>
      <w:rFonts w:ascii="Times New Roman" w:eastAsia="Times New Roman" w:hAnsi="Times New Roman" w:cs="Times New Roman"/>
      <w:b/>
      <w:bCs/>
      <w:sz w:val="28"/>
      <w:szCs w:val="28"/>
      <w:lang w:val="id"/>
    </w:rPr>
  </w:style>
  <w:style w:type="character" w:customStyle="1" w:styleId="ac">
    <w:name w:val="Заголовок Знак"/>
    <w:basedOn w:val="a0"/>
    <w:uiPriority w:val="10"/>
    <w:rsid w:val="008537DE"/>
    <w:rPr>
      <w:rFonts w:ascii="Calibri" w:eastAsia="Calibri" w:hAnsi="Calibri" w:cs="Calibri"/>
      <w:sz w:val="56"/>
      <w:szCs w:val="56"/>
      <w:lang w:val="uz-Latn-UZ" w:eastAsia="ko-KR"/>
    </w:rPr>
  </w:style>
  <w:style w:type="paragraph" w:styleId="ad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e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+jcRNR/DHTv3Qb5CQ7h2JNUGjg==">CgMxLjAyDmguMnl4NzVidTBsOXpzMg5oLnludjN4ZWN3aXVkMzIOaC5odG1qa3ozdWJwaGY4AHIhMWNveUF0M1BEVjFKeVFuZWJZZTEwMHBwQk42bGdRVFNh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1284</Words>
  <Characters>7321</Characters>
  <Application>Microsoft Office Word</Application>
  <DocSecurity>0</DocSecurity>
  <Lines>61</Lines>
  <Paragraphs>17</Paragraphs>
  <ScaleCrop>false</ScaleCrop>
  <Company>SPecialiST RePack</Company>
  <LinksUpToDate>false</LinksUpToDate>
  <CharactersWithSpaces>8588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4</cp:revision>
  <dcterms:created xsi:type="dcterms:W3CDTF">2024-03-05T13:50:00Z</dcterms:created>
  <dcterms:modified xsi:type="dcterms:W3CDTF">2026-04-03T05:31:00Z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2021-11-10T00:00:00Z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2023-09-07T00:00:00Z</vt:filetime>
  </property>
</Properties>
</file>